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01594" w14:textId="3D92AF67" w:rsidR="00A46510" w:rsidRDefault="00A46510" w:rsidP="00A46510">
      <w:pPr>
        <w:pStyle w:val="3GPPHeader"/>
        <w:spacing w:after="60"/>
        <w:rPr>
          <w:sz w:val="32"/>
          <w:szCs w:val="32"/>
          <w:highlight w:val="yellow"/>
        </w:rPr>
      </w:pPr>
      <w:r>
        <w:rPr>
          <w:noProof/>
        </w:rPr>
        <w:t>3GPP</w:t>
      </w:r>
      <w:r>
        <w:t xml:space="preserve"> TSG RAN WG1 Meeting 92</w:t>
      </w:r>
      <w:r>
        <w:tab/>
        <w:t>R1-1801569</w:t>
      </w:r>
    </w:p>
    <w:p w14:paraId="76F8AEE5" w14:textId="77777777" w:rsidR="00A46510" w:rsidRDefault="00A46510" w:rsidP="00A46510">
      <w:pPr>
        <w:pStyle w:val="3GPPHeader"/>
      </w:pPr>
      <w:bookmarkStart w:id="0" w:name="_Hlk498620366"/>
      <w:r>
        <w:t>Athens, Greece, 26</w:t>
      </w:r>
      <w:r>
        <w:rPr>
          <w:vertAlign w:val="superscript"/>
        </w:rPr>
        <w:t>nd</w:t>
      </w:r>
      <w:r>
        <w:t xml:space="preserve"> Feb-2</w:t>
      </w:r>
      <w:r>
        <w:rPr>
          <w:vertAlign w:val="superscript"/>
        </w:rPr>
        <w:t>nd</w:t>
      </w:r>
      <w:r>
        <w:t xml:space="preserve"> Mar 2018</w:t>
      </w:r>
      <w:bookmarkEnd w:id="0"/>
    </w:p>
    <w:p w14:paraId="1DE2F78D" w14:textId="77777777" w:rsidR="00683817" w:rsidRPr="00870C15" w:rsidRDefault="00683817" w:rsidP="00311702">
      <w:pPr>
        <w:pStyle w:val="3GPPHeader"/>
        <w:rPr>
          <w:bCs/>
          <w:sz w:val="22"/>
        </w:rPr>
      </w:pPr>
    </w:p>
    <w:p w14:paraId="0364D04F" w14:textId="66377D3B" w:rsidR="00E90E49" w:rsidRPr="00CE6CDF" w:rsidRDefault="00E90E49" w:rsidP="00311702">
      <w:pPr>
        <w:pStyle w:val="3GPPHeader"/>
        <w:rPr>
          <w:sz w:val="22"/>
        </w:rPr>
      </w:pPr>
      <w:r w:rsidRPr="00B32025">
        <w:rPr>
          <w:sz w:val="22"/>
        </w:rPr>
        <w:t>Agenda Item:</w:t>
      </w:r>
      <w:r w:rsidRPr="00B32025">
        <w:rPr>
          <w:sz w:val="22"/>
        </w:rPr>
        <w:tab/>
      </w:r>
      <w:r w:rsidR="00CD44AE" w:rsidRPr="00B32025">
        <w:rPr>
          <w:sz w:val="22"/>
        </w:rPr>
        <w:t>7.</w:t>
      </w:r>
      <w:r w:rsidR="00A46510">
        <w:rPr>
          <w:sz w:val="22"/>
        </w:rPr>
        <w:t>2.5</w:t>
      </w:r>
    </w:p>
    <w:p w14:paraId="4D9826D6" w14:textId="77777777" w:rsidR="00E90E49" w:rsidRPr="00870C15" w:rsidRDefault="003D3C45" w:rsidP="00F64C2B">
      <w:pPr>
        <w:pStyle w:val="3GPPHeader"/>
        <w:rPr>
          <w:sz w:val="22"/>
        </w:rPr>
      </w:pPr>
      <w:r w:rsidRPr="00870C15">
        <w:rPr>
          <w:sz w:val="22"/>
        </w:rPr>
        <w:t>Source:</w:t>
      </w:r>
      <w:r w:rsidR="00E90E49" w:rsidRPr="00870C15">
        <w:rPr>
          <w:sz w:val="22"/>
        </w:rPr>
        <w:tab/>
      </w:r>
      <w:r w:rsidR="00F64C2B" w:rsidRPr="00870C15">
        <w:rPr>
          <w:sz w:val="22"/>
        </w:rPr>
        <w:t>Ericsson</w:t>
      </w:r>
    </w:p>
    <w:p w14:paraId="6116CC29" w14:textId="42A71869" w:rsidR="00E90E49" w:rsidRPr="00B8132A" w:rsidRDefault="003D3C45" w:rsidP="00311702">
      <w:pPr>
        <w:pStyle w:val="3GPPHeader"/>
        <w:rPr>
          <w:sz w:val="22"/>
        </w:rPr>
      </w:pPr>
      <w:r w:rsidRPr="00870C15">
        <w:rPr>
          <w:sz w:val="22"/>
        </w:rPr>
        <w:t>Title:</w:t>
      </w:r>
      <w:r w:rsidR="00E90E49" w:rsidRPr="00870C15">
        <w:rPr>
          <w:sz w:val="22"/>
        </w:rPr>
        <w:tab/>
      </w:r>
      <w:r w:rsidR="008D04E6" w:rsidRPr="00870C15">
        <w:rPr>
          <w:sz w:val="22"/>
        </w:rPr>
        <w:t xml:space="preserve">On the Performance Evaluation of PUCCH Format 0 for </w:t>
      </w:r>
      <w:r w:rsidR="00B8132A" w:rsidRPr="00B8132A">
        <w:rPr>
          <w:sz w:val="22"/>
        </w:rPr>
        <w:t>URLLC Use Cases</w:t>
      </w:r>
    </w:p>
    <w:p w14:paraId="0B10D8C0" w14:textId="09FA5FCC" w:rsidR="00E90E49" w:rsidRPr="00AD484F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AD484F">
        <w:rPr>
          <w:sz w:val="22"/>
        </w:rPr>
        <w:t>Document fo</w:t>
      </w:r>
      <w:r w:rsidRPr="001379C6">
        <w:rPr>
          <w:sz w:val="22"/>
        </w:rPr>
        <w:t>r:</w:t>
      </w:r>
      <w:r w:rsidRPr="001379C6">
        <w:rPr>
          <w:sz w:val="22"/>
        </w:rPr>
        <w:tab/>
      </w:r>
      <w:r w:rsidR="00B32025" w:rsidRPr="001379C6">
        <w:rPr>
          <w:sz w:val="22"/>
        </w:rPr>
        <w:t>Information</w:t>
      </w:r>
    </w:p>
    <w:p w14:paraId="7E192037" w14:textId="2F2817E6" w:rsidR="007B08E3" w:rsidRDefault="00E90E49" w:rsidP="007B08E3">
      <w:pPr>
        <w:pStyle w:val="Heading1"/>
      </w:pPr>
      <w:r w:rsidRPr="00CE0424">
        <w:t>Introduction</w:t>
      </w:r>
    </w:p>
    <w:p w14:paraId="2809EDBA" w14:textId="77777777" w:rsidR="006C1FA8" w:rsidRDefault="006C1FA8" w:rsidP="007B08E3">
      <w:r w:rsidRPr="005B3569">
        <w:t xml:space="preserve">According to [1], RAN1 should identify techniques for supporting the ultra-reliable part of URLLC requirements set forth in [2] starting in RAN1 NR Ad-hoc#2 meeting in June 2017. </w:t>
      </w:r>
    </w:p>
    <w:p w14:paraId="1514D4AF" w14:textId="340467AC" w:rsidR="00B60AAE" w:rsidRPr="00870C15" w:rsidRDefault="00B60AAE" w:rsidP="007B08E3">
      <w:r w:rsidRPr="00870C15">
        <w:t xml:space="preserve">In this paper, we assess </w:t>
      </w:r>
      <w:r w:rsidR="0061060F">
        <w:t xml:space="preserve">performance of </w:t>
      </w:r>
      <w:r w:rsidR="0061060F" w:rsidRPr="00870C15">
        <w:t xml:space="preserve">PUCCH format </w:t>
      </w:r>
      <w:r w:rsidR="0061060F">
        <w:t xml:space="preserve">0 for </w:t>
      </w:r>
      <w:r w:rsidR="00FB6EE9" w:rsidRPr="00870C15">
        <w:t xml:space="preserve">SR and HARQ </w:t>
      </w:r>
      <w:r w:rsidR="00FB6EE9">
        <w:t xml:space="preserve">for </w:t>
      </w:r>
      <w:r w:rsidR="0061060F">
        <w:t>URLLC</w:t>
      </w:r>
      <w:r w:rsidR="00FB6EE9">
        <w:t xml:space="preserve">. </w:t>
      </w:r>
      <w:r w:rsidR="00D722A3">
        <w:t xml:space="preserve">Enhancement based on </w:t>
      </w:r>
      <w:r w:rsidR="00C532A0">
        <w:t>multiple receive antenna</w:t>
      </w:r>
      <w:r w:rsidR="00D722A3">
        <w:t xml:space="preserve">s and </w:t>
      </w:r>
      <w:r w:rsidR="001379C6">
        <w:t>using long PUCCH format</w:t>
      </w:r>
      <w:r w:rsidR="00C532A0">
        <w:t xml:space="preserve"> </w:t>
      </w:r>
      <w:r w:rsidR="00F50425">
        <w:t xml:space="preserve">are </w:t>
      </w:r>
      <w:r w:rsidR="001379C6">
        <w:t>discussed</w:t>
      </w:r>
      <w:r w:rsidR="00F50425">
        <w:t xml:space="preserve"> </w:t>
      </w:r>
      <w:r w:rsidRPr="00870C15">
        <w:t xml:space="preserve">in </w:t>
      </w:r>
      <w:r w:rsidR="001379C6">
        <w:t xml:space="preserve">connection to </w:t>
      </w:r>
      <w:r w:rsidRPr="00870C15">
        <w:t xml:space="preserve">our companion contribution </w:t>
      </w:r>
      <w:r>
        <w:fldChar w:fldCharType="begin"/>
      </w:r>
      <w:r w:rsidRPr="00870C15">
        <w:instrText xml:space="preserve"> REF _Ref485224325 \n \h </w:instrText>
      </w:r>
      <w:r>
        <w:fldChar w:fldCharType="separate"/>
      </w:r>
      <w:r w:rsidR="00491C9D" w:rsidRPr="00870C15">
        <w:t>[3]</w:t>
      </w:r>
      <w:r>
        <w:fldChar w:fldCharType="end"/>
      </w:r>
      <w:r w:rsidRPr="00870C15"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870C15" w:rsidRDefault="003B7635" w:rsidP="00D30BF2">
      <w:pPr>
        <w:jc w:val="both"/>
      </w:pPr>
      <w:r w:rsidRPr="00870C15">
        <w:t>In our companion contribution</w:t>
      </w:r>
      <w:r w:rsidR="00FB5457" w:rsidRPr="00870C15">
        <w:t xml:space="preserve"> </w:t>
      </w:r>
      <w:r w:rsidR="008931A2">
        <w:fldChar w:fldCharType="begin"/>
      </w:r>
      <w:r w:rsidR="008931A2" w:rsidRPr="00870C15">
        <w:instrText xml:space="preserve"> REF _Ref485224325 \n \h </w:instrText>
      </w:r>
      <w:r w:rsidR="008931A2">
        <w:fldChar w:fldCharType="separate"/>
      </w:r>
      <w:r w:rsidR="00491C9D" w:rsidRPr="00870C15">
        <w:t>[3]</w:t>
      </w:r>
      <w:r w:rsidR="008931A2">
        <w:fldChar w:fldCharType="end"/>
      </w:r>
      <w:r w:rsidRPr="00870C15">
        <w:t xml:space="preserve">, we </w:t>
      </w:r>
      <w:r w:rsidR="005C57A2" w:rsidRPr="00870C15">
        <w:t>elaborate on</w:t>
      </w:r>
      <w:r w:rsidRPr="00870C15">
        <w:t xml:space="preserve"> techniques to enhance </w:t>
      </w:r>
      <w:r w:rsidR="00B60AAE" w:rsidRPr="00870C15">
        <w:t xml:space="preserve">the </w:t>
      </w:r>
      <w:r w:rsidRPr="00870C15">
        <w:t>PUCCH</w:t>
      </w:r>
      <w:r w:rsidR="005C57A2" w:rsidRPr="00870C15">
        <w:t xml:space="preserve"> relia</w:t>
      </w:r>
      <w:r w:rsidR="008931A2" w:rsidRPr="00870C15">
        <w:t>b</w:t>
      </w:r>
      <w:r w:rsidR="005C57A2" w:rsidRPr="00870C15">
        <w:t>ility</w:t>
      </w:r>
      <w:r w:rsidR="00C93B68" w:rsidRPr="00870C15">
        <w:t>, namely repetition</w:t>
      </w:r>
      <w:r w:rsidR="008931A2" w:rsidRPr="00870C15">
        <w:t>,</w:t>
      </w:r>
      <w:r w:rsidR="00C93B68" w:rsidRPr="00870C15">
        <w:t xml:space="preserve"> frequency hopping</w:t>
      </w:r>
      <w:r w:rsidR="00C168DF" w:rsidRPr="00870C15">
        <w:t xml:space="preserve"> and variable length PUCCH</w:t>
      </w:r>
      <w:r w:rsidRPr="00870C15">
        <w:t>. In this paper, we evaluate the performance of certain PUCCH formats</w:t>
      </w:r>
      <w:r w:rsidR="00C168DF" w:rsidRPr="00870C15">
        <w:t xml:space="preserve">, </w:t>
      </w:r>
      <w:r w:rsidR="005C57A2" w:rsidRPr="00870C15">
        <w:t xml:space="preserve">which are </w:t>
      </w:r>
      <w:r w:rsidR="00C168DF" w:rsidRPr="00870C15">
        <w:t>based on sequence selection,</w:t>
      </w:r>
      <w:r w:rsidRPr="00870C15">
        <w:t xml:space="preserve"> to assess their </w:t>
      </w:r>
      <w:r w:rsidR="00997E50" w:rsidRPr="00870C15">
        <w:t>suitability for U</w:t>
      </w:r>
      <w:r w:rsidR="008931A2" w:rsidRPr="00870C15">
        <w:t>RLLC targets. In particular,</w:t>
      </w:r>
      <w:r w:rsidRPr="00870C15">
        <w:t xml:space="preserve"> we </w:t>
      </w:r>
      <w:r w:rsidR="00C93B68" w:rsidRPr="00870C15">
        <w:t>check</w:t>
      </w:r>
      <w:r w:rsidRPr="00870C15">
        <w:t xml:space="preserve"> the performance of </w:t>
      </w:r>
      <w:r w:rsidR="005C57A2" w:rsidRPr="00870C15">
        <w:t xml:space="preserve">sequence selection </w:t>
      </w:r>
      <w:r w:rsidRPr="00870C15"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6C1FA8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870C15" w:rsidRDefault="00576DDE" w:rsidP="00CE764D">
            <w:r w:rsidRPr="00870C15">
              <w:t xml:space="preserve">TDL-A </w:t>
            </w:r>
            <w:r w:rsidR="00D67C49" w:rsidRPr="00870C15"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870C15" w:rsidRDefault="0078518A" w:rsidP="00D30BF2">
      <w:pPr>
        <w:jc w:val="both"/>
      </w:pPr>
      <w:r w:rsidRPr="00870C15">
        <w:t>For 1-bit HARQ A/N, we consider PUCCH performance in terms of ACK error and NACK-to-ACK error for TDLA 30, 300, and 1000 ns</w:t>
      </w:r>
      <w:r w:rsidR="0074609B" w:rsidRPr="00870C15">
        <w:t xml:space="preserve"> channel models</w:t>
      </w:r>
      <w:r w:rsidRPr="00870C15">
        <w:t>. Due to high reliability requirement for URLLC</w:t>
      </w:r>
      <w:r w:rsidR="00BD2FB8" w:rsidRPr="00870C15">
        <w:t xml:space="preserve"> data transmission</w:t>
      </w:r>
      <w:r w:rsidRPr="00870C15">
        <w:t>, reliability of the A/N feedback needs to be high</w:t>
      </w:r>
      <w:r w:rsidR="001471E8" w:rsidRPr="00870C15">
        <w:t>,</w:t>
      </w:r>
      <w:r w:rsidRPr="00870C15">
        <w:t xml:space="preserve"> especially when NACK is sent to the gNB</w:t>
      </w:r>
      <w:r w:rsidR="001471E8" w:rsidRPr="00870C15">
        <w:t xml:space="preserve"> to trigger a retransmission</w:t>
      </w:r>
      <w:r w:rsidRPr="00870C15">
        <w:t xml:space="preserve">. </w:t>
      </w:r>
      <w:r w:rsidR="001471E8" w:rsidRPr="00870C15">
        <w:t>If one retransmission is possible within the latency bound</w:t>
      </w:r>
      <w:r w:rsidRPr="00870C15">
        <w:t xml:space="preserve">, we can see that </w:t>
      </w:r>
      <w:r w:rsidR="001471E8" w:rsidRPr="00870C15">
        <w:t>the probability of a</w:t>
      </w:r>
      <w:r w:rsidRPr="00870C15">
        <w:t xml:space="preserve"> NACK to ACK </w:t>
      </w:r>
      <w:r w:rsidR="001471E8" w:rsidRPr="00870C15">
        <w:t>error should be kept below the order of 10</w:t>
      </w:r>
      <w:r w:rsidRPr="00870C15">
        <w:rPr>
          <w:vertAlign w:val="superscript"/>
        </w:rPr>
        <w:t>-4</w:t>
      </w:r>
      <w:r w:rsidRPr="00870C15">
        <w:t>. This is generally an or</w:t>
      </w:r>
      <w:r w:rsidR="001471E8" w:rsidRPr="00870C15">
        <w:t>der of magnitude lower than what is</w:t>
      </w:r>
      <w:r w:rsidRPr="00870C15">
        <w:t xml:space="preserve"> required in LTE. As for ACK error, the event leads to unnecessary retransmission and inefficient resource utilization, thus it is reasonable to require t</w:t>
      </w:r>
      <w:r w:rsidR="001471E8" w:rsidRPr="00870C15">
        <w:t>hat Pr(ACK error) is at most 10</w:t>
      </w:r>
      <w:r w:rsidRPr="00870C15">
        <w:rPr>
          <w:vertAlign w:val="superscript"/>
        </w:rPr>
        <w:t>-2</w:t>
      </w:r>
      <w:r w:rsidRPr="00870C15">
        <w:t xml:space="preserve"> (same as LTE). </w:t>
      </w:r>
      <w:r w:rsidR="00DD5319" w:rsidRPr="00870C15">
        <w:t>B</w:t>
      </w:r>
      <w:r w:rsidRPr="00870C15">
        <w:t xml:space="preserve">elow </w:t>
      </w:r>
      <w:r w:rsidR="00DD5319" w:rsidRPr="00870C15">
        <w:lastRenderedPageBreak/>
        <w:t xml:space="preserve">we </w:t>
      </w:r>
      <w:r w:rsidRPr="00870C15">
        <w:t>show the short PUCCH performance with different receive antenna configurations</w:t>
      </w:r>
      <w:r w:rsidR="001471E8" w:rsidRPr="00870C15">
        <w:t xml:space="preserve">, </w:t>
      </w:r>
      <w:r w:rsidR="009F606B" w:rsidRPr="00870C15">
        <w:t>PUCCH lengths</w:t>
      </w:r>
      <w:r w:rsidR="0074609B" w:rsidRPr="00870C15">
        <w:t xml:space="preserve"> (one or two symbols)</w:t>
      </w:r>
      <w:r w:rsidR="009F606B" w:rsidRPr="00870C15">
        <w:t>, and with/</w:t>
      </w:r>
      <w:r w:rsidR="001471E8" w:rsidRPr="00870C15">
        <w:t>without frequency hopping</w:t>
      </w:r>
      <w:r w:rsidRPr="00870C15">
        <w:t>.</w:t>
      </w:r>
      <w:r w:rsidR="0074609B" w:rsidRPr="00870C15"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870C15" w:rsidRDefault="005F3C8E" w:rsidP="005F3C8E">
      <w:pPr>
        <w:pStyle w:val="Caption"/>
      </w:pPr>
      <w:bookmarkStart w:id="2" w:name="_Ref484613053"/>
      <w:r w:rsidRPr="00870C15">
        <w:t xml:space="preserve">Figure </w:t>
      </w:r>
      <w:r w:rsidR="00EA0B3C">
        <w:fldChar w:fldCharType="begin"/>
      </w:r>
      <w:r w:rsidR="00EA0B3C" w:rsidRPr="00870C15"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</w:rPr>
        <w:t>1</w:t>
      </w:r>
      <w:r w:rsidR="00EA0B3C">
        <w:rPr>
          <w:noProof/>
        </w:rPr>
        <w:fldChar w:fldCharType="end"/>
      </w:r>
      <w:bookmarkEnd w:id="2"/>
      <w:r w:rsidRPr="00870C15">
        <w:t xml:space="preserve">: ACK error rate for </w:t>
      </w:r>
      <w:r w:rsidR="00D67C49" w:rsidRPr="00870C15">
        <w:t>TDL-A</w:t>
      </w:r>
      <w:r w:rsidR="0074609B" w:rsidRPr="00870C15">
        <w:t xml:space="preserve"> channel model with </w:t>
      </w:r>
      <w:r w:rsidRPr="00870C15"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870C15" w:rsidRDefault="005F3C8E" w:rsidP="005F3C8E">
      <w:pPr>
        <w:pStyle w:val="Caption"/>
      </w:pPr>
      <w:r w:rsidRPr="00870C15">
        <w:t xml:space="preserve">Figure </w:t>
      </w:r>
      <w:r w:rsidR="00EA0B3C">
        <w:fldChar w:fldCharType="begin"/>
      </w:r>
      <w:r w:rsidR="00EA0B3C" w:rsidRPr="00870C15"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</w:rPr>
        <w:t>2</w:t>
      </w:r>
      <w:r w:rsidR="00EA0B3C">
        <w:rPr>
          <w:noProof/>
        </w:rPr>
        <w:fldChar w:fldCharType="end"/>
      </w:r>
      <w:r w:rsidRPr="00870C15">
        <w:t xml:space="preserve">: BLER for </w:t>
      </w:r>
      <w:r w:rsidR="0074609B" w:rsidRPr="00870C15">
        <w:t xml:space="preserve">TDL-A channel model with </w:t>
      </w:r>
      <w:r w:rsidRPr="00870C15"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395E07DC" wp14:editId="68CBD1BB">
            <wp:extent cx="4864868" cy="36861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66550" cy="36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870C15" w:rsidRDefault="005F3C8E" w:rsidP="005F3C8E">
      <w:pPr>
        <w:pStyle w:val="Caption"/>
      </w:pPr>
      <w:bookmarkStart w:id="3" w:name="_Ref484613056"/>
      <w:r w:rsidRPr="00870C15">
        <w:t xml:space="preserve">Figure </w:t>
      </w:r>
      <w:r w:rsidR="00EA0B3C">
        <w:fldChar w:fldCharType="begin"/>
      </w:r>
      <w:r w:rsidR="00EA0B3C" w:rsidRPr="00870C15"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</w:rPr>
        <w:t>3</w:t>
      </w:r>
      <w:r w:rsidR="00EA0B3C">
        <w:rPr>
          <w:noProof/>
        </w:rPr>
        <w:fldChar w:fldCharType="end"/>
      </w:r>
      <w:bookmarkEnd w:id="3"/>
      <w:r w:rsidRPr="00870C15">
        <w:t>: N</w:t>
      </w:r>
      <w:r w:rsidR="0074609B" w:rsidRPr="00870C15">
        <w:t>ACK-to-ACK</w:t>
      </w:r>
      <w:r w:rsidRPr="00870C15">
        <w:t xml:space="preserve"> </w:t>
      </w:r>
      <w:r w:rsidR="0074609B" w:rsidRPr="00870C15">
        <w:t xml:space="preserve">error </w:t>
      </w:r>
      <w:r w:rsidRPr="00870C15">
        <w:t xml:space="preserve">rate for </w:t>
      </w:r>
      <w:r w:rsidR="0074609B" w:rsidRPr="00870C15">
        <w:t xml:space="preserve">TDL-A channel model with </w:t>
      </w:r>
      <w:r w:rsidRPr="00870C15">
        <w:t>delay spread 30</w:t>
      </w:r>
      <w:r w:rsidR="00C93B68" w:rsidRPr="00870C15">
        <w:t>0</w:t>
      </w:r>
      <w:r w:rsidRPr="00870C15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drawing>
          <wp:inline distT="0" distB="0" distL="0" distR="0" wp14:anchorId="0E46D455" wp14:editId="12AA56B1">
            <wp:extent cx="4798645" cy="3619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03959" cy="362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870C15" w:rsidRDefault="005F3C8E" w:rsidP="005F3C8E">
      <w:pPr>
        <w:pStyle w:val="Caption"/>
      </w:pPr>
      <w:r w:rsidRPr="00870C15">
        <w:t xml:space="preserve">Figure </w:t>
      </w:r>
      <w:r w:rsidR="00EA0B3C">
        <w:fldChar w:fldCharType="begin"/>
      </w:r>
      <w:r w:rsidR="00EA0B3C" w:rsidRPr="00870C15"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</w:rPr>
        <w:t>4</w:t>
      </w:r>
      <w:r w:rsidR="00EA0B3C">
        <w:rPr>
          <w:noProof/>
        </w:rPr>
        <w:fldChar w:fldCharType="end"/>
      </w:r>
      <w:r w:rsidRPr="00870C15">
        <w:t>: N</w:t>
      </w:r>
      <w:r w:rsidR="0074609B" w:rsidRPr="00870C15">
        <w:t>ACK-to-ACK error</w:t>
      </w:r>
      <w:r w:rsidRPr="00870C15">
        <w:t xml:space="preserve"> rate for </w:t>
      </w:r>
      <w:r w:rsidR="0074609B" w:rsidRPr="00870C15">
        <w:t xml:space="preserve">TDL-A channel model with </w:t>
      </w:r>
      <w:r w:rsidRPr="00870C15"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6E41B08A" wp14:editId="7E605A01">
            <wp:extent cx="5002961" cy="37909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5029558" cy="381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870C15" w:rsidRDefault="005F3C8E" w:rsidP="005F3C8E">
      <w:pPr>
        <w:pStyle w:val="Caption"/>
      </w:pPr>
      <w:bookmarkStart w:id="4" w:name="_Ref484614366"/>
      <w:r w:rsidRPr="00870C15">
        <w:t xml:space="preserve">Figure </w:t>
      </w:r>
      <w:r w:rsidR="00EA0B3C">
        <w:fldChar w:fldCharType="begin"/>
      </w:r>
      <w:r w:rsidR="00EA0B3C" w:rsidRPr="00870C15"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</w:rPr>
        <w:t>5</w:t>
      </w:r>
      <w:r w:rsidR="00EA0B3C">
        <w:rPr>
          <w:noProof/>
        </w:rPr>
        <w:fldChar w:fldCharType="end"/>
      </w:r>
      <w:bookmarkEnd w:id="4"/>
      <w:r w:rsidRPr="00870C15">
        <w:t>: N</w:t>
      </w:r>
      <w:r w:rsidR="0074609B" w:rsidRPr="00870C15">
        <w:t>ACK-to-ACK error</w:t>
      </w:r>
      <w:r w:rsidRPr="00870C15">
        <w:t xml:space="preserve"> rate for </w:t>
      </w:r>
      <w:r w:rsidR="0074609B" w:rsidRPr="00870C15">
        <w:t xml:space="preserve">TDL-A channel model with </w:t>
      </w:r>
      <w:r w:rsidRPr="00870C15">
        <w:t>delay spread 1000ns</w:t>
      </w:r>
    </w:p>
    <w:p w14:paraId="443B135B" w14:textId="0A835FCB" w:rsidR="008D4766" w:rsidRPr="00CE6CDF" w:rsidRDefault="008D4766" w:rsidP="00D30BF2">
      <w:pPr>
        <w:jc w:val="both"/>
      </w:pPr>
      <w:r w:rsidRPr="00870C15">
        <w:t xml:space="preserve">In Figures </w:t>
      </w:r>
      <w:r>
        <w:fldChar w:fldCharType="begin"/>
      </w:r>
      <w:r w:rsidRPr="00870C15">
        <w:instrText xml:space="preserve"> REF _Ref484613053 \h </w:instrText>
      </w:r>
      <w:r>
        <w:fldChar w:fldCharType="separate"/>
      </w:r>
      <w:r w:rsidR="00491C9D" w:rsidRPr="00870C15">
        <w:rPr>
          <w:noProof/>
        </w:rPr>
        <w:t>1</w:t>
      </w:r>
      <w:r>
        <w:fldChar w:fldCharType="end"/>
      </w:r>
      <w:r w:rsidRPr="00870C15">
        <w:t>-</w:t>
      </w:r>
      <w:r>
        <w:fldChar w:fldCharType="begin"/>
      </w:r>
      <w:r w:rsidRPr="00870C15">
        <w:instrText xml:space="preserve"> REF _Ref484613056 \h </w:instrText>
      </w:r>
      <w:r>
        <w:fldChar w:fldCharType="separate"/>
      </w:r>
      <w:r w:rsidR="00491C9D" w:rsidRPr="00870C15">
        <w:rPr>
          <w:noProof/>
        </w:rPr>
        <w:t>3</w:t>
      </w:r>
      <w:r>
        <w:fldChar w:fldCharType="end"/>
      </w:r>
      <w:r w:rsidRPr="00870C15">
        <w:t xml:space="preserve">, we see the HARQ error events for various </w:t>
      </w:r>
      <w:r w:rsidR="009B4E45" w:rsidRPr="00870C15">
        <w:t>setups. We see that the gain</w:t>
      </w:r>
      <w:r w:rsidR="008931A2" w:rsidRPr="00870C15">
        <w:t>, when</w:t>
      </w:r>
      <w:r w:rsidR="009B4E45" w:rsidRPr="00870C15">
        <w:t xml:space="preserve"> going from a</w:t>
      </w:r>
      <w:r w:rsidRPr="00870C15">
        <w:t xml:space="preserve"> 1</w:t>
      </w:r>
      <w:r w:rsidR="009B4E45" w:rsidRPr="00870C15">
        <w:t>-</w:t>
      </w:r>
      <w:r w:rsidRPr="00870C15">
        <w:t xml:space="preserve">symbol to </w:t>
      </w:r>
      <w:r w:rsidR="009B4E45" w:rsidRPr="00870C15">
        <w:t xml:space="preserve">a </w:t>
      </w:r>
      <w:r w:rsidRPr="00870C15">
        <w:t>2-symbol PUCCH</w:t>
      </w:r>
      <w:r w:rsidR="00D745C3" w:rsidRPr="00870C15">
        <w:t xml:space="preserve"> with repetition</w:t>
      </w:r>
      <w:r w:rsidR="008931A2" w:rsidRPr="00870C15">
        <w:t>,</w:t>
      </w:r>
      <w:r w:rsidRPr="00870C15">
        <w:t xml:space="preserve"> is 3dB. This</w:t>
      </w:r>
      <w:r w:rsidR="009B4E45" w:rsidRPr="00870C15">
        <w:t xml:space="preserve"> is in accordance with expectations at</w:t>
      </w:r>
      <w:r w:rsidRPr="00870C15">
        <w:t xml:space="preserve"> low mobility since the channel is essentially unchanged</w:t>
      </w:r>
      <w:r w:rsidR="009B4E45" w:rsidRPr="00870C15">
        <w:t>,</w:t>
      </w:r>
      <w:r w:rsidRPr="00870C15">
        <w:t xml:space="preserve"> hence the extra cop</w:t>
      </w:r>
      <w:r w:rsidR="009B4E45" w:rsidRPr="00870C15">
        <w:t>y contributes with extra power giving</w:t>
      </w:r>
      <w:r w:rsidRPr="00870C15">
        <w:t xml:space="preserve"> 3dB gain. This trend is observed on all metrics, namely BLER, ACK </w:t>
      </w:r>
      <w:r w:rsidR="00D67C49" w:rsidRPr="00870C15">
        <w:t xml:space="preserve">miss detection </w:t>
      </w:r>
      <w:r w:rsidRPr="00870C15">
        <w:t>and N</w:t>
      </w:r>
      <w:r w:rsidR="00D67C49" w:rsidRPr="00870C15">
        <w:t>ACK-to-ACK</w:t>
      </w:r>
      <w:r w:rsidRPr="00870C15">
        <w:t xml:space="preserve"> error, respectively. </w:t>
      </w:r>
      <w:r w:rsidRPr="00CE6CDF">
        <w:t xml:space="preserve">We also observe that we need </w:t>
      </w:r>
      <w:r w:rsidRPr="00CE6CDF">
        <w:rPr>
          <w:i/>
        </w:rPr>
        <w:t>N=8</w:t>
      </w:r>
      <w:r w:rsidRPr="00CE6CDF">
        <w:t xml:space="preserve"> RX antennas in order to achieve </w:t>
      </w:r>
      <w:r w:rsidR="00D745C3" w:rsidRPr="00CE6CDF">
        <w:t xml:space="preserve">an </w:t>
      </w:r>
      <w:r w:rsidRPr="00CE6CDF">
        <w:t xml:space="preserve">error rate </w:t>
      </w:r>
      <w:r w:rsidR="00D745C3" w:rsidRPr="00CE6CDF">
        <w:t>of the order of 10</w:t>
      </w:r>
      <w:r w:rsidR="00D745C3" w:rsidRPr="00CE6CDF">
        <w:rPr>
          <w:vertAlign w:val="superscript"/>
        </w:rPr>
        <w:t>-4</w:t>
      </w:r>
      <w:r w:rsidR="00D745C3" w:rsidRPr="00CE6CDF">
        <w:t xml:space="preserve"> or less at</w:t>
      </w:r>
      <w:r w:rsidR="008931A2" w:rsidRPr="00CE6CDF">
        <w:t xml:space="preserve"> an SNR of </w:t>
      </w:r>
      <w:r w:rsidRPr="00CE6CDF">
        <w:t>-</w:t>
      </w:r>
      <w:r w:rsidR="00D745C3" w:rsidRPr="00CE6CDF">
        <w:t>4</w:t>
      </w:r>
      <w:r w:rsidRPr="00CE6CDF">
        <w:t>dB</w:t>
      </w:r>
      <w:r w:rsidR="008931A2" w:rsidRPr="00CE6CDF">
        <w:t xml:space="preserve"> (this statement holds for all metrics)</w:t>
      </w:r>
      <w:r w:rsidRPr="00CE6CDF">
        <w:t>. For the considered setups, with 1 or 2 symbols and usage/absence of frequency hopping</w:t>
      </w:r>
      <w:r w:rsidR="00D745C3" w:rsidRPr="00CE6CDF">
        <w:t xml:space="preserve"> (FH)</w:t>
      </w:r>
      <w:r w:rsidRPr="00CE6CDF">
        <w:t xml:space="preserve">, less than 8 antennas are not sufficient for meeting this target. </w:t>
      </w:r>
    </w:p>
    <w:p w14:paraId="453AA17B" w14:textId="0B28A25D" w:rsidR="009F7791" w:rsidRPr="00CE6CDF" w:rsidRDefault="008D4766" w:rsidP="00D30BF2">
      <w:pPr>
        <w:jc w:val="both"/>
        <w:sectPr w:rsidR="009F7791" w:rsidRPr="00CE6CD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CDF">
        <w:t xml:space="preserve">It is interesting to </w:t>
      </w:r>
      <w:r w:rsidR="00D745C3" w:rsidRPr="00CE6CDF">
        <w:t>observe</w:t>
      </w:r>
      <w:r w:rsidRPr="00CE6CDF">
        <w:t xml:space="preserve"> that FH outperform</w:t>
      </w:r>
      <w:r w:rsidR="00D745C3" w:rsidRPr="00CE6CDF">
        <w:t>s</w:t>
      </w:r>
      <w:r w:rsidRPr="00CE6CDF"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CE6CDF">
        <w:instrText xml:space="preserve"> REF _Ref484613056 \h </w:instrText>
      </w:r>
      <w:r>
        <w:fldChar w:fldCharType="separate"/>
      </w:r>
      <w:r w:rsidR="00491C9D" w:rsidRPr="00CE6CDF">
        <w:t xml:space="preserve">Figure </w:t>
      </w:r>
      <w:r w:rsidR="00491C9D" w:rsidRPr="00CE6CDF">
        <w:rPr>
          <w:noProof/>
        </w:rPr>
        <w:t>3</w:t>
      </w:r>
      <w:r>
        <w:fldChar w:fldCharType="end"/>
      </w:r>
      <w:r w:rsidRPr="00CE6CDF">
        <w:t>-</w:t>
      </w:r>
      <w:r>
        <w:fldChar w:fldCharType="begin"/>
      </w:r>
      <w:r w:rsidRPr="00CE6CDF">
        <w:instrText xml:space="preserve"> REF _Ref484614366 \h </w:instrText>
      </w:r>
      <w:r>
        <w:fldChar w:fldCharType="separate"/>
      </w:r>
      <w:r w:rsidR="00491C9D" w:rsidRPr="00CE6CDF">
        <w:t xml:space="preserve">Figure </w:t>
      </w:r>
      <w:r w:rsidR="00491C9D" w:rsidRPr="00CE6CDF">
        <w:rPr>
          <w:noProof/>
        </w:rPr>
        <w:t>5</w:t>
      </w:r>
      <w:r>
        <w:fldChar w:fldCharType="end"/>
      </w:r>
      <w:r w:rsidRPr="00CE6CDF">
        <w:t>, we can conclude that</w:t>
      </w:r>
      <w:r w:rsidR="00D745C3" w:rsidRPr="00CE6CDF">
        <w:t xml:space="preserve"> for</w:t>
      </w:r>
      <w:r w:rsidRPr="00CE6CDF">
        <w:t xml:space="preserve"> </w:t>
      </w:r>
      <w:r w:rsidR="00D745C3" w:rsidRPr="00CE6CDF">
        <w:t xml:space="preserve">delay spread values </w:t>
      </w:r>
      <w:r w:rsidRPr="00CE6CDF">
        <w:t>up to 300nsec the system performs the same</w:t>
      </w:r>
      <w:r w:rsidR="00D745C3" w:rsidRPr="00CE6CDF">
        <w:t xml:space="preserve"> in terms on N</w:t>
      </w:r>
      <w:r w:rsidR="006D7690" w:rsidRPr="00CE6CDF">
        <w:t>ACK-to-ACK</w:t>
      </w:r>
      <w:r w:rsidR="00D745C3" w:rsidRPr="00CE6CDF">
        <w:t xml:space="preserve"> error rate</w:t>
      </w:r>
      <w:r w:rsidRPr="00CE6CDF">
        <w:t xml:space="preserve">. This also implies that using the edge bands for PUCCH transmission provides sufficient separation even at low </w:t>
      </w:r>
      <w:r w:rsidR="00D745C3" w:rsidRPr="00CE6CDF">
        <w:t xml:space="preserve">delay </w:t>
      </w:r>
      <w:r w:rsidRPr="00CE6CDF"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  <w:lang w:eastAsia="sv-SE"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CE6CDF" w:rsidRDefault="009F7791" w:rsidP="009F7791">
      <w:pPr>
        <w:pStyle w:val="Caption"/>
        <w:jc w:val="both"/>
      </w:pPr>
      <w:r w:rsidRPr="00CE6CDF">
        <w:t xml:space="preserve">Figure </w:t>
      </w:r>
      <w:r>
        <w:rPr>
          <w:b w:val="0"/>
          <w:bCs w:val="0"/>
        </w:rPr>
        <w:fldChar w:fldCharType="begin"/>
      </w:r>
      <w:r w:rsidRPr="00CE6CDF"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CE6CDF">
        <w:rPr>
          <w:noProof/>
        </w:rPr>
        <w:t>6</w:t>
      </w:r>
      <w:r>
        <w:rPr>
          <w:b w:val="0"/>
          <w:bCs w:val="0"/>
        </w:rPr>
        <w:fldChar w:fldCharType="end"/>
      </w:r>
      <w:r w:rsidRPr="00CE6CDF">
        <w:t xml:space="preserve">: </w:t>
      </w:r>
      <w:r w:rsidR="00A613DB" w:rsidRPr="00CE6CDF">
        <w:t>A</w:t>
      </w:r>
      <w:r w:rsidR="00D67C49" w:rsidRPr="00CE6CDF">
        <w:t>CK error</w:t>
      </w:r>
      <w:r w:rsidRPr="00CE6CDF">
        <w:t xml:space="preserve"> rate for </w:t>
      </w:r>
      <w:r w:rsidRPr="00CE6CDF">
        <w:rPr>
          <w:noProof/>
        </w:rPr>
        <w:t>multiple UEs and</w:t>
      </w:r>
      <w:r w:rsidRPr="00CE6CDF">
        <w:t xml:space="preserve"> </w:t>
      </w:r>
      <w:r w:rsidR="005972F2" w:rsidRPr="00CE6CDF">
        <w:t xml:space="preserve">TDL-A channel </w:t>
      </w:r>
      <w:r w:rsidR="00D67C49" w:rsidRPr="00CE6CDF">
        <w:t xml:space="preserve">with </w:t>
      </w:r>
      <w:r w:rsidRPr="00CE6CDF">
        <w:t>30ns</w:t>
      </w:r>
      <w:r w:rsidRPr="00CE6CDF">
        <w:rPr>
          <w:noProof/>
        </w:rPr>
        <w:t xml:space="preserve"> </w:t>
      </w:r>
      <w:r w:rsidRPr="00CE6CDF"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  <w:lang w:eastAsia="sv-SE"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CE6CDF" w:rsidRDefault="009F7791" w:rsidP="004C3E48">
      <w:pPr>
        <w:pStyle w:val="Caption"/>
        <w:jc w:val="both"/>
        <w:rPr>
          <w:b w:val="0"/>
          <w:bCs w:val="0"/>
        </w:rPr>
        <w:sectPr w:rsidR="009F7791" w:rsidRPr="00CE6CDF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CE6CDF">
        <w:t xml:space="preserve">Figure </w:t>
      </w:r>
      <w:r>
        <w:fldChar w:fldCharType="begin"/>
      </w:r>
      <w:r w:rsidRPr="00CE6CDF">
        <w:instrText xml:space="preserve"> SEQ Figure \* ARABIC </w:instrText>
      </w:r>
      <w:r>
        <w:fldChar w:fldCharType="separate"/>
      </w:r>
      <w:r w:rsidR="00491C9D" w:rsidRPr="00CE6CDF">
        <w:rPr>
          <w:noProof/>
        </w:rPr>
        <w:t>7</w:t>
      </w:r>
      <w:r>
        <w:fldChar w:fldCharType="end"/>
      </w:r>
      <w:r w:rsidRPr="00CE6CDF">
        <w:t>: A</w:t>
      </w:r>
      <w:r w:rsidR="00D67C49" w:rsidRPr="00CE6CDF">
        <w:t>CK error</w:t>
      </w:r>
      <w:r w:rsidRPr="00CE6CDF">
        <w:t xml:space="preserve"> rate for </w:t>
      </w:r>
      <w:r w:rsidRPr="00CE6CDF">
        <w:rPr>
          <w:noProof/>
        </w:rPr>
        <w:t>multiple UEs and</w:t>
      </w:r>
      <w:r w:rsidRPr="00CE6CDF">
        <w:t xml:space="preserve"> </w:t>
      </w:r>
      <w:r w:rsidR="005972F2" w:rsidRPr="00CE6CDF">
        <w:t xml:space="preserve">TDL-A channel </w:t>
      </w:r>
      <w:r w:rsidR="00D67C49" w:rsidRPr="00CE6CDF">
        <w:t xml:space="preserve">with </w:t>
      </w:r>
      <w:r w:rsidR="009929E6" w:rsidRPr="00CE6CDF">
        <w:t>100</w:t>
      </w:r>
      <w:r w:rsidRPr="00CE6CDF">
        <w:t>0ns</w:t>
      </w:r>
      <w:r w:rsidRPr="00CE6CDF">
        <w:rPr>
          <w:noProof/>
        </w:rPr>
        <w:t xml:space="preserve"> </w:t>
      </w:r>
      <w:r w:rsidRPr="00CE6CDF">
        <w:t>delay spread.</w:t>
      </w:r>
    </w:p>
    <w:p w14:paraId="16FAB454" w14:textId="06216483" w:rsidR="009F7791" w:rsidRPr="00CE6CDF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both"/>
        <w:rPr>
          <w:b w:val="0"/>
        </w:rPr>
      </w:pPr>
      <w:bookmarkStart w:id="5" w:name="_Toc488696352"/>
      <w:r w:rsidRPr="00CE6CDF">
        <w:rPr>
          <w:b w:val="0"/>
        </w:rPr>
        <w:t>In the above two figures, we see the impact of</w:t>
      </w:r>
      <w:r w:rsidR="00F12223" w:rsidRPr="00CE6CDF">
        <w:rPr>
          <w:b w:val="0"/>
        </w:rPr>
        <w:t xml:space="preserve"> UE</w:t>
      </w:r>
      <w:r w:rsidR="006D7690" w:rsidRPr="00CE6CDF">
        <w:rPr>
          <w:b w:val="0"/>
        </w:rPr>
        <w:t xml:space="preserve"> multiplexing on the performance</w:t>
      </w:r>
      <w:r w:rsidRPr="00CE6CDF">
        <w:rPr>
          <w:b w:val="0"/>
        </w:rPr>
        <w:t xml:space="preserve">. For </w:t>
      </w:r>
      <w:r w:rsidR="006D7690" w:rsidRPr="00CE6CDF">
        <w:rPr>
          <w:b w:val="0"/>
        </w:rPr>
        <w:t xml:space="preserve">a channel with </w:t>
      </w:r>
      <w:r w:rsidR="00F12223" w:rsidRPr="00CE6CDF">
        <w:rPr>
          <w:b w:val="0"/>
        </w:rPr>
        <w:t xml:space="preserve">30ns </w:t>
      </w:r>
      <w:r w:rsidR="006D7690" w:rsidRPr="00CE6CDF">
        <w:rPr>
          <w:b w:val="0"/>
        </w:rPr>
        <w:t>delay spread</w:t>
      </w:r>
      <w:r w:rsidRPr="00CE6CDF">
        <w:rPr>
          <w:b w:val="0"/>
        </w:rPr>
        <w:t>, the presence of interference among multiple transmission</w:t>
      </w:r>
      <w:r w:rsidR="008931A2" w:rsidRPr="00CE6CDF">
        <w:rPr>
          <w:b w:val="0"/>
        </w:rPr>
        <w:t>s</w:t>
      </w:r>
      <w:r w:rsidRPr="00CE6CDF">
        <w:rPr>
          <w:b w:val="0"/>
        </w:rPr>
        <w:t xml:space="preserve"> does not degrade </w:t>
      </w:r>
      <w:r w:rsidR="006D7690" w:rsidRPr="00CE6CDF">
        <w:rPr>
          <w:b w:val="0"/>
        </w:rPr>
        <w:t xml:space="preserve">the </w:t>
      </w:r>
      <w:r w:rsidRPr="00CE6CDF">
        <w:rPr>
          <w:b w:val="0"/>
        </w:rPr>
        <w:t>performance (same conclusions hold for 300ns</w:t>
      </w:r>
      <w:r w:rsidR="006D7690" w:rsidRPr="00CE6CDF">
        <w:rPr>
          <w:b w:val="0"/>
        </w:rPr>
        <w:t xml:space="preserve"> channel delay spread</w:t>
      </w:r>
      <w:r w:rsidRPr="00CE6CDF">
        <w:rPr>
          <w:b w:val="0"/>
        </w:rPr>
        <w:t xml:space="preserve">). However, when the delay spread becomes 1000ns then the system performance is sustained for up to 3 UEs, whereas when </w:t>
      </w:r>
      <w:r w:rsidR="006D7690" w:rsidRPr="00CE6CDF">
        <w:rPr>
          <w:b w:val="0"/>
        </w:rPr>
        <w:t xml:space="preserve">the number of users is increased </w:t>
      </w:r>
      <w:r w:rsidRPr="00CE6CDF">
        <w:rPr>
          <w:b w:val="0"/>
        </w:rPr>
        <w:t>to 6 UEs</w:t>
      </w:r>
      <w:r w:rsidR="006D7690" w:rsidRPr="00CE6CDF">
        <w:rPr>
          <w:b w:val="0"/>
        </w:rPr>
        <w:t>,</w:t>
      </w:r>
      <w:r w:rsidRPr="00CE6CDF">
        <w:rPr>
          <w:b w:val="0"/>
        </w:rPr>
        <w:t xml:space="preserve"> then we observe some penalty, </w:t>
      </w:r>
      <w:r w:rsidR="006D7690" w:rsidRPr="00CE6CDF">
        <w:rPr>
          <w:b w:val="0"/>
        </w:rPr>
        <w:t>where its</w:t>
      </w:r>
      <w:r w:rsidRPr="00CE6CDF">
        <w:rPr>
          <w:b w:val="0"/>
        </w:rPr>
        <w:t xml:space="preserve"> magnitude depends on the number of antennas.</w:t>
      </w:r>
      <w:bookmarkEnd w:id="5"/>
      <w:r w:rsidRPr="00CE6CDF">
        <w:rPr>
          <w:b w:val="0"/>
        </w:rPr>
        <w:t xml:space="preserve"> </w:t>
      </w:r>
    </w:p>
    <w:p w14:paraId="5B5D5869" w14:textId="528219E9" w:rsidR="006D7690" w:rsidRPr="00CE6CDF" w:rsidRDefault="009F7791" w:rsidP="006D7690">
      <w:pPr>
        <w:pStyle w:val="Observation"/>
        <w:tabs>
          <w:tab w:val="clear" w:pos="1701"/>
        </w:tabs>
        <w:spacing w:before="200"/>
        <w:ind w:left="0" w:firstLine="0"/>
      </w:pPr>
      <w:bookmarkStart w:id="6" w:name="_Toc488696353"/>
      <w:r w:rsidRPr="00CE6CDF">
        <w:t xml:space="preserve">The number of UEs </w:t>
      </w:r>
      <w:r w:rsidR="00173067" w:rsidRPr="00CE6CDF">
        <w:t>impacts</w:t>
      </w:r>
      <w:r w:rsidRPr="00CE6CDF">
        <w:t xml:space="preserve"> PUCCH reliability </w:t>
      </w:r>
      <w:r w:rsidR="00173067" w:rsidRPr="00CE6CDF">
        <w:t xml:space="preserve">at </w:t>
      </w:r>
      <w:r w:rsidR="00D745C3" w:rsidRPr="00CE6CDF">
        <w:t>highly dispersive channels.</w:t>
      </w:r>
      <w:bookmarkEnd w:id="6"/>
    </w:p>
    <w:p w14:paraId="6A83F84D" w14:textId="77777777" w:rsidR="005972F2" w:rsidRPr="00CE6CDF" w:rsidRDefault="005972F2" w:rsidP="005972F2">
      <w:pPr>
        <w:pStyle w:val="Observation"/>
        <w:tabs>
          <w:tab w:val="clear" w:pos="1701"/>
        </w:tabs>
        <w:spacing w:before="200"/>
      </w:pPr>
      <w:r w:rsidRPr="00CE6CDF">
        <w:t>Using 2-symbol short PUCCH with FH and multiple receive antennas can provide high reliability for HARQ transmission.</w:t>
      </w:r>
    </w:p>
    <w:p w14:paraId="69170A34" w14:textId="50D4751E" w:rsidR="006D7690" w:rsidRPr="00CE6CDF" w:rsidRDefault="006D7690" w:rsidP="00A0313F">
      <w:pPr>
        <w:pStyle w:val="Caption"/>
        <w:keepNext/>
      </w:pPr>
      <w:r w:rsidRPr="00CE6CDF">
        <w:t xml:space="preserve">Table </w:t>
      </w:r>
      <w:r w:rsidR="00EA0B3C">
        <w:fldChar w:fldCharType="begin"/>
      </w:r>
      <w:r w:rsidR="00EA0B3C" w:rsidRPr="00CE6CDF">
        <w:instrText xml:space="preserve"> SEQ Table \* ARABIC </w:instrText>
      </w:r>
      <w:r w:rsidR="00EA0B3C">
        <w:fldChar w:fldCharType="separate"/>
      </w:r>
      <w:r w:rsidR="00491C9D" w:rsidRPr="00CE6CDF">
        <w:rPr>
          <w:noProof/>
        </w:rPr>
        <w:t>1</w:t>
      </w:r>
      <w:r w:rsidR="00EA0B3C">
        <w:rPr>
          <w:noProof/>
        </w:rPr>
        <w:fldChar w:fldCharType="end"/>
      </w:r>
      <w:r w:rsidRPr="00CE6CDF">
        <w:t>: Minimum SNR required to achieve different ACK error rate targets</w:t>
      </w:r>
      <w:r w:rsidR="00BA0C70" w:rsidRPr="00CE6CDF">
        <w:t>,</w:t>
      </w:r>
      <w:r w:rsidRPr="00CE6CDF">
        <w:t xml:space="preserve"> </w:t>
      </w:r>
      <w:r w:rsidR="00BA0C70" w:rsidRPr="00CE6CDF">
        <w:t xml:space="preserve">for single UE transmission, </w:t>
      </w:r>
      <w:r w:rsidRPr="00CE6CDF">
        <w:t>with different RX antenna configuration for TDLA 300 ns</w:t>
      </w:r>
      <w:r w:rsidR="00C44FE9" w:rsidRPr="00CE6CDF">
        <w:t xml:space="preserve"> (cf. Figure 1 with FH=1)</w:t>
      </w:r>
      <w:r w:rsidRPr="00CE6CD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CE6CDF" w:rsidRDefault="006D7690" w:rsidP="00A0313F">
      <w:pPr>
        <w:pStyle w:val="Caption"/>
        <w:keepNext/>
      </w:pPr>
      <w:r w:rsidRPr="00CE6CDF">
        <w:t xml:space="preserve">Table </w:t>
      </w:r>
      <w:r w:rsidR="00EA0B3C">
        <w:fldChar w:fldCharType="begin"/>
      </w:r>
      <w:r w:rsidR="00EA0B3C" w:rsidRPr="00CE6CDF">
        <w:instrText xml:space="preserve"> SEQ Table \* ARABIC </w:instrText>
      </w:r>
      <w:r w:rsidR="00EA0B3C">
        <w:fldChar w:fldCharType="separate"/>
      </w:r>
      <w:r w:rsidR="00491C9D" w:rsidRPr="00CE6CDF">
        <w:rPr>
          <w:noProof/>
        </w:rPr>
        <w:t>2</w:t>
      </w:r>
      <w:r w:rsidR="00EA0B3C">
        <w:rPr>
          <w:noProof/>
        </w:rPr>
        <w:fldChar w:fldCharType="end"/>
      </w:r>
      <w:r w:rsidRPr="00CE6CDF">
        <w:t xml:space="preserve"> : Minimum SNR r</w:t>
      </w:r>
      <w:r w:rsidR="005972F2" w:rsidRPr="00CE6CDF">
        <w:t>equired to achieve different NACK-to-ACK</w:t>
      </w:r>
      <w:r w:rsidRPr="00CE6CDF">
        <w:t xml:space="preserve"> error rate targets</w:t>
      </w:r>
      <w:r w:rsidR="00BA0C70" w:rsidRPr="00CE6CDF">
        <w:t>, for single UE transmission,</w:t>
      </w:r>
      <w:r w:rsidRPr="00CE6CDF">
        <w:t xml:space="preserve"> with different RX antenna configuration for TDLA 300 ns</w:t>
      </w:r>
      <w:r w:rsidR="00C44FE9" w:rsidRPr="00CE6CDF">
        <w:t xml:space="preserve"> (cf. Figure 3 with FH=1)</w:t>
      </w:r>
      <w:r w:rsidRPr="00CE6CD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  <w:lang w:eastAsia="sv-SE"/>
        </w:rPr>
        <w:lastRenderedPageBreak/>
        <w:drawing>
          <wp:inline distT="0" distB="0" distL="0" distR="0" wp14:anchorId="4778FA15" wp14:editId="624EF962">
            <wp:extent cx="5057775" cy="40197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5063995" cy="40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CE6CDF" w:rsidRDefault="004454EA" w:rsidP="004454EA">
      <w:pPr>
        <w:pStyle w:val="Caption"/>
      </w:pPr>
      <w:bookmarkStart w:id="8" w:name="_Ref485219499"/>
      <w:r w:rsidRPr="00CE6CDF">
        <w:t xml:space="preserve">Figure </w:t>
      </w:r>
      <w:r w:rsidR="00EA0B3C">
        <w:fldChar w:fldCharType="begin"/>
      </w:r>
      <w:r w:rsidR="00EA0B3C" w:rsidRPr="00CE6CDF">
        <w:instrText xml:space="preserve"> SEQ Figure \* ARABIC </w:instrText>
      </w:r>
      <w:r w:rsidR="00EA0B3C">
        <w:fldChar w:fldCharType="separate"/>
      </w:r>
      <w:r w:rsidR="00491C9D" w:rsidRPr="00CE6CDF">
        <w:rPr>
          <w:noProof/>
        </w:rPr>
        <w:t>8</w:t>
      </w:r>
      <w:r w:rsidR="00EA0B3C">
        <w:rPr>
          <w:noProof/>
        </w:rPr>
        <w:fldChar w:fldCharType="end"/>
      </w:r>
      <w:bookmarkEnd w:id="8"/>
      <w:r w:rsidRPr="00CE6CDF">
        <w:t>: N</w:t>
      </w:r>
      <w:r w:rsidR="00D67C49" w:rsidRPr="00CE6CDF">
        <w:t>ACK-to-ACK error</w:t>
      </w:r>
      <w:r w:rsidRPr="00CE6CDF">
        <w:t xml:space="preserve"> rate for </w:t>
      </w:r>
      <w:r w:rsidRPr="00CE6CDF">
        <w:rPr>
          <w:noProof/>
        </w:rPr>
        <w:t>4-symbol PUCCH</w:t>
      </w:r>
      <w:r w:rsidR="005972F2" w:rsidRPr="00CE6CDF">
        <w:rPr>
          <w:noProof/>
        </w:rPr>
        <w:t xml:space="preserve"> and TDL-A channel </w:t>
      </w:r>
      <w:r w:rsidR="00D67C49" w:rsidRPr="00CE6CDF">
        <w:rPr>
          <w:noProof/>
        </w:rPr>
        <w:t xml:space="preserve">with </w:t>
      </w:r>
      <w:r w:rsidRPr="00CE6CDF">
        <w:t>300ns</w:t>
      </w:r>
      <w:r w:rsidRPr="00CE6CDF">
        <w:rPr>
          <w:noProof/>
        </w:rPr>
        <w:t xml:space="preserve"> </w:t>
      </w:r>
      <w:r w:rsidRPr="00CE6CDF">
        <w:t>delay spread.</w:t>
      </w:r>
    </w:p>
    <w:p w14:paraId="38389EFB" w14:textId="635E9989" w:rsidR="004454EA" w:rsidRPr="00CE6CDF" w:rsidRDefault="00E721D3" w:rsidP="00D30BF2">
      <w:pPr>
        <w:spacing w:before="120"/>
        <w:jc w:val="both"/>
      </w:pPr>
      <w:r w:rsidRPr="00CE6CDF">
        <w:t xml:space="preserve">To enhance reliability even further, </w:t>
      </w:r>
      <w:r w:rsidR="00744FBF" w:rsidRPr="00CE6CDF">
        <w:t>extending the signal</w:t>
      </w:r>
      <w:r w:rsidRPr="00CE6CDF">
        <w:t xml:space="preserve"> in time is possible</w:t>
      </w:r>
      <w:r w:rsidR="00744FBF" w:rsidRPr="00CE6CDF">
        <w:t xml:space="preserve"> by using long PUCCH</w:t>
      </w:r>
      <w:r w:rsidRPr="00CE6CDF">
        <w:t xml:space="preserve">. As we see in </w:t>
      </w:r>
      <w:r>
        <w:fldChar w:fldCharType="begin"/>
      </w:r>
      <w:r w:rsidRPr="00CE6CDF">
        <w:instrText xml:space="preserve"> REF _Ref485219499 \h </w:instrText>
      </w:r>
      <w:r>
        <w:fldChar w:fldCharType="separate"/>
      </w:r>
      <w:r w:rsidR="00491C9D" w:rsidRPr="00CE6CDF">
        <w:t xml:space="preserve">Figure </w:t>
      </w:r>
      <w:r w:rsidR="00491C9D" w:rsidRPr="00CE6CDF">
        <w:rPr>
          <w:noProof/>
        </w:rPr>
        <w:t>8</w:t>
      </w:r>
      <w:r>
        <w:fldChar w:fldCharType="end"/>
      </w:r>
      <w:r w:rsidRPr="00CE6CDF">
        <w:t xml:space="preserve">, with longer PUCCH and 4-symbol format the system can achieve </w:t>
      </w:r>
      <w:r w:rsidR="00173067" w:rsidRPr="00CE6CDF">
        <w:t>a N</w:t>
      </w:r>
      <w:r w:rsidR="00F254BE" w:rsidRPr="00CE6CDF">
        <w:t>ACK-to-ACK</w:t>
      </w:r>
      <w:r w:rsidR="00173067" w:rsidRPr="00CE6CDF">
        <w:t xml:space="preserve"> error rate of </w:t>
      </w:r>
      <w:r w:rsidRPr="00CE6CDF">
        <w:t>10</w:t>
      </w:r>
      <w:r w:rsidRPr="00CE6CDF">
        <w:rPr>
          <w:vertAlign w:val="superscript"/>
        </w:rPr>
        <w:t>-4</w:t>
      </w:r>
      <w:r w:rsidR="008931A2" w:rsidRPr="00CE6CDF">
        <w:t xml:space="preserve"> </w:t>
      </w:r>
      <w:r w:rsidRPr="00CE6CDF">
        <w:t xml:space="preserve">at </w:t>
      </w:r>
      <w:r w:rsidR="008931A2" w:rsidRPr="00CE6CDF">
        <w:t xml:space="preserve">an SNR value of </w:t>
      </w:r>
      <w:r w:rsidR="00814D94" w:rsidRPr="00CE6CDF">
        <w:t>around</w:t>
      </w:r>
      <w:r w:rsidRPr="00CE6CDF">
        <w:t xml:space="preserve"> </w:t>
      </w:r>
      <w:r w:rsidR="00173067" w:rsidRPr="00CE6CDF">
        <w:t>-</w:t>
      </w:r>
      <w:r w:rsidR="00814D94" w:rsidRPr="00CE6CDF">
        <w:t>6</w:t>
      </w:r>
      <w:r w:rsidRPr="00CE6CDF">
        <w:t>dB</w:t>
      </w:r>
      <w:r w:rsidR="00814D94" w:rsidRPr="00CE6CDF">
        <w:t xml:space="preserve"> (10</w:t>
      </w:r>
      <w:r w:rsidR="00814D94" w:rsidRPr="00CE6CDF">
        <w:rPr>
          <w:vertAlign w:val="superscript"/>
        </w:rPr>
        <w:t>-5</w:t>
      </w:r>
      <w:r w:rsidR="00814D94" w:rsidRPr="00CE6CDF">
        <w:t xml:space="preserve"> N</w:t>
      </w:r>
      <w:r w:rsidR="008626B6">
        <w:t>ACK-to-</w:t>
      </w:r>
      <w:r w:rsidR="00814D94" w:rsidRPr="00CE6CDF">
        <w:t>A</w:t>
      </w:r>
      <w:r w:rsidR="008626B6">
        <w:t>CK</w:t>
      </w:r>
      <w:bookmarkStart w:id="9" w:name="_GoBack"/>
      <w:bookmarkEnd w:id="9"/>
      <w:r w:rsidR="00814D94" w:rsidRPr="00CE6CDF">
        <w:t xml:space="preserve"> error rate at around</w:t>
      </w:r>
      <w:r w:rsidR="00F254BE" w:rsidRPr="00CE6CDF">
        <w:t xml:space="preserve"> </w:t>
      </w:r>
      <w:r w:rsidR="00814D94" w:rsidRPr="00CE6CDF">
        <w:t>-4.5dB with frequency hopping)</w:t>
      </w:r>
      <w:r w:rsidR="008931A2" w:rsidRPr="00CE6CDF">
        <w:t>,</w:t>
      </w:r>
      <w:r w:rsidRPr="00CE6CDF">
        <w:t xml:space="preserve"> </w:t>
      </w:r>
      <w:r w:rsidRPr="00CE6CDF">
        <w:rPr>
          <w:i/>
        </w:rPr>
        <w:t>with 4 receive antennas</w:t>
      </w:r>
      <w:r w:rsidR="00173067" w:rsidRPr="00CE6CDF">
        <w:t>,</w:t>
      </w:r>
      <w:r w:rsidR="008931A2" w:rsidRPr="00CE6CDF">
        <w:t xml:space="preserve"> thereby</w:t>
      </w:r>
      <w:r w:rsidR="00173067" w:rsidRPr="00CE6CDF">
        <w:t xml:space="preserve"> significantly outperforming the previous setups</w:t>
      </w:r>
      <w:r w:rsidR="008931A2" w:rsidRPr="00CE6CDF">
        <w:t>,</w:t>
      </w:r>
      <w:r w:rsidR="00173067" w:rsidRPr="00CE6CDF">
        <w:t xml:space="preserve"> where such performance </w:t>
      </w:r>
      <w:r w:rsidR="008931A2" w:rsidRPr="00CE6CDF">
        <w:t xml:space="preserve">was </w:t>
      </w:r>
      <w:r w:rsidR="00173067" w:rsidRPr="00CE6CDF">
        <w:t>attainable</w:t>
      </w:r>
      <w:r w:rsidR="008931A2" w:rsidRPr="00CE6CDF">
        <w:t xml:space="preserve"> with 8 receive antennas</w:t>
      </w:r>
      <w:r w:rsidR="00173067" w:rsidRPr="00CE6CDF">
        <w:t>. Therefore, long PUCCH format should be a candidate for high reliability.</w:t>
      </w:r>
    </w:p>
    <w:p w14:paraId="6BBF42E4" w14:textId="665E990B" w:rsidR="00727D8B" w:rsidRPr="00CE6CDF" w:rsidRDefault="008357B6" w:rsidP="008357B6">
      <w:pPr>
        <w:pStyle w:val="Observation"/>
      </w:pPr>
      <w:bookmarkStart w:id="10" w:name="_Toc488696356"/>
      <w:r w:rsidRPr="00CE6CDF">
        <w:t>L</w:t>
      </w:r>
      <w:r w:rsidR="00EE1852" w:rsidRPr="00CE6CDF">
        <w:t xml:space="preserve">ong </w:t>
      </w:r>
      <w:r w:rsidR="00997E50" w:rsidRPr="00CE6CDF">
        <w:t>P</w:t>
      </w:r>
      <w:r w:rsidR="00EE1852" w:rsidRPr="00CE6CDF">
        <w:t xml:space="preserve">UCCH format </w:t>
      </w:r>
      <w:r w:rsidRPr="00CE6CDF">
        <w:t>provides high reliability PUCCH transmission</w:t>
      </w:r>
      <w:bookmarkEnd w:id="10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CE6CDF" w:rsidRDefault="00727D8B" w:rsidP="00D30BF2">
      <w:pPr>
        <w:jc w:val="both"/>
      </w:pPr>
      <w:r w:rsidRPr="00CE6CDF">
        <w:t xml:space="preserve">For SR, we evaluate </w:t>
      </w:r>
      <w:r w:rsidR="000D07B4" w:rsidRPr="00CE6CDF">
        <w:t xml:space="preserve">performance in terms of SR missed detection. </w:t>
      </w:r>
      <w:r w:rsidR="00721A36" w:rsidRPr="00CE6CDF">
        <w:t>If an UL packet should be delivered with a total error rate of P</w:t>
      </w:r>
      <w:r w:rsidR="00721A36" w:rsidRPr="00CE6CDF">
        <w:rPr>
          <w:vertAlign w:val="subscript"/>
        </w:rPr>
        <w:t>e</w:t>
      </w:r>
      <w:r w:rsidR="00721A36" w:rsidRPr="00CE6CDF">
        <w:t>, the SR missed detection rate should be well below this level.</w:t>
      </w:r>
      <w:r w:rsidR="00D45423" w:rsidRPr="00CE6CDF">
        <w:t xml:space="preserve"> Repetitions or increas</w:t>
      </w:r>
      <w:r w:rsidR="0090070B" w:rsidRPr="00CE6CDF">
        <w:t>ed length can be used to reduce</w:t>
      </w:r>
      <w:r w:rsidR="00D45423" w:rsidRPr="00CE6CDF">
        <w:t xml:space="preserve"> the missed detection rate.</w:t>
      </w:r>
      <w:r w:rsidR="00721A36" w:rsidRPr="00CE6CDF">
        <w:t xml:space="preserve"> </w:t>
      </w:r>
      <w:r w:rsidR="00DD5319" w:rsidRPr="00CE6CDF">
        <w:t>Similarly</w:t>
      </w:r>
      <w:r w:rsidR="0090070B" w:rsidRPr="00CE6CDF">
        <w:t>,</w:t>
      </w:r>
      <w:r w:rsidR="00DD5319" w:rsidRPr="00CE6CDF">
        <w:t xml:space="preserve"> as for HARQ A/N</w:t>
      </w:r>
      <w:r w:rsidR="000D07B4" w:rsidRPr="00CE6CDF">
        <w:t xml:space="preserve">, we consider the 2-symbol short PUCCH format as a candidate for providing high reliability for SR. Simulation assumptions remain the same as stated in the beginning. Here we set Pr(DTX </w:t>
      </w:r>
      <w:r w:rsidR="005075ED" w:rsidRPr="00CE6CDF">
        <w:t>to SR) =10</w:t>
      </w:r>
      <w:r w:rsidR="000D07B4" w:rsidRPr="00CE6CDF">
        <w:rPr>
          <w:vertAlign w:val="superscript"/>
        </w:rPr>
        <w:t>-2</w:t>
      </w:r>
      <w:r w:rsidR="000D07B4" w:rsidRPr="00CE6CDF">
        <w:t xml:space="preserve"> </w:t>
      </w:r>
      <w:r w:rsidR="00DD5319" w:rsidRPr="00CE6CDF">
        <w:t>which then determines</w:t>
      </w:r>
      <w:r w:rsidR="000D07B4" w:rsidRPr="00CE6CDF">
        <w:t xml:space="preserve"> the threshold for false alarm probability. </w:t>
      </w:r>
      <w:r w:rsidR="0090070B">
        <w:fldChar w:fldCharType="begin"/>
      </w:r>
      <w:r w:rsidR="0090070B" w:rsidRPr="00CE6CDF">
        <w:instrText xml:space="preserve"> REF _Ref485214233 \h </w:instrText>
      </w:r>
      <w:r w:rsidR="0090070B">
        <w:fldChar w:fldCharType="separate"/>
      </w:r>
      <w:r w:rsidR="00491C9D" w:rsidRPr="00CE6CDF">
        <w:t xml:space="preserve">Figure </w:t>
      </w:r>
      <w:r w:rsidR="00491C9D" w:rsidRPr="00CE6CDF">
        <w:rPr>
          <w:noProof/>
        </w:rPr>
        <w:t>9</w:t>
      </w:r>
      <w:r w:rsidR="0090070B">
        <w:fldChar w:fldCharType="end"/>
      </w:r>
      <w:r w:rsidR="0090070B" w:rsidRPr="00CE6CDF">
        <w:t xml:space="preserve"> </w:t>
      </w:r>
      <w:r w:rsidR="000D07B4" w:rsidRPr="00CE6CDF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67F7FA37" wp14:editId="429BE0C7">
            <wp:extent cx="5368925" cy="4391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3" cy="439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CE6CDF" w:rsidRDefault="0090070B" w:rsidP="000D07B4">
      <w:pPr>
        <w:pStyle w:val="Caption"/>
      </w:pPr>
      <w:bookmarkStart w:id="11" w:name="_Ref485214233"/>
      <w:r w:rsidRPr="00CE6CDF">
        <w:t xml:space="preserve">Figure </w:t>
      </w:r>
      <w:r w:rsidR="00EA0B3C">
        <w:fldChar w:fldCharType="begin"/>
      </w:r>
      <w:r w:rsidR="00EA0B3C" w:rsidRPr="00CE6CDF">
        <w:instrText xml:space="preserve"> SEQ Figure \* ARABIC </w:instrText>
      </w:r>
      <w:r w:rsidR="00EA0B3C">
        <w:fldChar w:fldCharType="separate"/>
      </w:r>
      <w:r w:rsidR="00491C9D" w:rsidRPr="00CE6CDF">
        <w:rPr>
          <w:noProof/>
        </w:rPr>
        <w:t>9</w:t>
      </w:r>
      <w:r w:rsidR="00EA0B3C">
        <w:rPr>
          <w:noProof/>
        </w:rPr>
        <w:fldChar w:fldCharType="end"/>
      </w:r>
      <w:bookmarkEnd w:id="11"/>
      <w:r w:rsidR="000D07B4" w:rsidRPr="00CE6CDF">
        <w:t>: SR missed detection rate for</w:t>
      </w:r>
      <w:r w:rsidR="00D67C49" w:rsidRPr="00CE6CDF">
        <w:t xml:space="preserve"> TDL-A channel model with</w:t>
      </w:r>
      <w:r w:rsidR="000D07B4" w:rsidRPr="00CE6CDF">
        <w:t xml:space="preserve"> delay spread 300ns</w:t>
      </w:r>
    </w:p>
    <w:p w14:paraId="4C5632A5" w14:textId="39799575" w:rsidR="000D07B4" w:rsidRPr="00CE6CDF" w:rsidRDefault="008D103A" w:rsidP="008D103A">
      <w:pPr>
        <w:pStyle w:val="Observation"/>
        <w:spacing w:before="200"/>
      </w:pPr>
      <w:bookmarkStart w:id="12" w:name="_Toc488696357"/>
      <w:r w:rsidRPr="00CE6CDF">
        <w:t>Like</w:t>
      </w:r>
      <w:r w:rsidR="000D07B4" w:rsidRPr="00CE6CDF">
        <w:t xml:space="preserve"> HARQ A/N, using 2-symbol short PUCCH with FH together with multiple receive antennas </w:t>
      </w:r>
      <w:r w:rsidRPr="00CE6CDF">
        <w:t>can provide</w:t>
      </w:r>
      <w:r w:rsidR="000D07B4" w:rsidRPr="00CE6CDF">
        <w:t xml:space="preserve"> </w:t>
      </w:r>
      <w:r w:rsidRPr="00CE6CDF">
        <w:t>high</w:t>
      </w:r>
      <w:r w:rsidR="000D07B4" w:rsidRPr="00CE6CDF">
        <w:t xml:space="preserve"> reliability for SR</w:t>
      </w:r>
      <w:r w:rsidRPr="00CE6CDF">
        <w:t xml:space="preserve"> transmission</w:t>
      </w:r>
      <w:r w:rsidR="000D07B4" w:rsidRPr="00CE6CDF">
        <w:t>.</w:t>
      </w:r>
      <w:bookmarkEnd w:id="12"/>
      <w:r w:rsidR="000D07B4" w:rsidRPr="00CE6CDF">
        <w:t xml:space="preserve"> </w:t>
      </w:r>
    </w:p>
    <w:p w14:paraId="0411A8DB" w14:textId="77777777" w:rsidR="000D07B4" w:rsidRPr="00CE6CDF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CE6CDF" w:rsidRDefault="001C7D72" w:rsidP="00A0313F">
      <w:pPr>
        <w:pStyle w:val="BodyText"/>
      </w:pPr>
      <w:r w:rsidRPr="00CE6CDF">
        <w:t xml:space="preserve">In this contribution, we </w:t>
      </w:r>
      <w:r w:rsidR="007E4283" w:rsidRPr="00CE6CDF">
        <w:t xml:space="preserve">have </w:t>
      </w:r>
      <w:r w:rsidRPr="00CE6CDF">
        <w:t>provide</w:t>
      </w:r>
      <w:r w:rsidR="007E4283" w:rsidRPr="00CE6CDF">
        <w:t>d</w:t>
      </w:r>
      <w:r w:rsidRPr="00CE6CDF">
        <w:t xml:space="preserve"> si</w:t>
      </w:r>
      <w:r w:rsidR="007E4283" w:rsidRPr="00CE6CDF">
        <w:t xml:space="preserve">mulation results for the PUCCH performance for high reliable transmission using different </w:t>
      </w:r>
      <w:r w:rsidR="00375E64" w:rsidRPr="00CE6CDF">
        <w:t>techniques</w:t>
      </w:r>
      <w:r w:rsidR="007E4283" w:rsidRPr="00CE6CDF">
        <w:t>. Based on the investigations, we have made the following observations:</w:t>
      </w:r>
    </w:p>
    <w:p w14:paraId="183BC0D6" w14:textId="77777777" w:rsidR="00521835" w:rsidRPr="00CE6CDF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</w:pPr>
      <w:bookmarkStart w:id="13" w:name="_Toc488696361"/>
      <w:r w:rsidRPr="00CE6CDF">
        <w:t>The number of UEs impacts PUCCH reliability at highly dispersive channels.</w:t>
      </w:r>
    </w:p>
    <w:p w14:paraId="476195DA" w14:textId="789F16DA" w:rsidR="00521835" w:rsidRPr="00CE6CDF" w:rsidRDefault="00521835" w:rsidP="00521835">
      <w:pPr>
        <w:pStyle w:val="Observation"/>
        <w:tabs>
          <w:tab w:val="clear" w:pos="1701"/>
        </w:tabs>
        <w:spacing w:before="200"/>
      </w:pPr>
      <w:r w:rsidRPr="00CE6CDF">
        <w:t>Using 2-symbol short PUCCH with FH and multiple receive antennas can provide high reliability for HARQ transmission.</w:t>
      </w:r>
    </w:p>
    <w:p w14:paraId="2722356C" w14:textId="6401CC9A" w:rsidR="00521835" w:rsidRPr="00CE6CDF" w:rsidRDefault="00521835" w:rsidP="00521835">
      <w:pPr>
        <w:pStyle w:val="Observation"/>
      </w:pPr>
      <w:r w:rsidRPr="00CE6CDF">
        <w:t>Long PUCCH format provides high reliability PUCCH transmission</w:t>
      </w:r>
    </w:p>
    <w:p w14:paraId="0A3C9F37" w14:textId="25C3071D" w:rsidR="00521835" w:rsidRPr="00CE6CDF" w:rsidRDefault="00521835" w:rsidP="00521835">
      <w:pPr>
        <w:pStyle w:val="Observation"/>
        <w:spacing w:before="200"/>
      </w:pPr>
      <w:r w:rsidRPr="00CE6CDF"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4" w:name="_In-sequence_SDU_delivery"/>
      <w:bookmarkEnd w:id="13"/>
      <w:bookmarkEnd w:id="14"/>
      <w:r w:rsidRPr="00CE0424">
        <w:lastRenderedPageBreak/>
        <w:t>References</w:t>
      </w:r>
    </w:p>
    <w:p w14:paraId="01F6952F" w14:textId="77777777" w:rsidR="00771181" w:rsidRDefault="00771181" w:rsidP="00771181">
      <w:pPr>
        <w:pStyle w:val="Reference"/>
        <w:numPr>
          <w:ilvl w:val="0"/>
          <w:numId w:val="22"/>
        </w:numPr>
      </w:pPr>
      <w:bookmarkStart w:id="15" w:name="_Ref484502550"/>
      <w:bookmarkStart w:id="16" w:name="_Ref485224325"/>
      <w:r w:rsidRPr="005B3569">
        <w:t>RP-171485 – “Revised WID on New Radio Access Technology”, NTT DOCOMO, INC, RAN75, West Palm Beach, USA, June 2017.</w:t>
      </w:r>
    </w:p>
    <w:p w14:paraId="6BC5D069" w14:textId="77777777" w:rsidR="00771181" w:rsidRPr="00F7431E" w:rsidRDefault="00771181" w:rsidP="00771181">
      <w:pPr>
        <w:pStyle w:val="Reference"/>
        <w:numPr>
          <w:ilvl w:val="0"/>
          <w:numId w:val="22"/>
        </w:numPr>
      </w:pPr>
      <w:r w:rsidRPr="00F7431E">
        <w:t>3GPP TR 38.913 – “Study on Scenarios and Requirements for Next Generation Access Technologies”, v14.2.0</w:t>
      </w:r>
    </w:p>
    <w:p w14:paraId="020B8834" w14:textId="59069827" w:rsidR="00A947C1" w:rsidRPr="00C443F4" w:rsidRDefault="00A947C1" w:rsidP="00C443F4">
      <w:pPr>
        <w:pStyle w:val="Reference"/>
      </w:pPr>
      <w:r w:rsidRPr="00C443F4">
        <w:t>R1-</w:t>
      </w:r>
      <w:r w:rsidR="00C443F4" w:rsidRPr="00C443F4">
        <w:t>180</w:t>
      </w:r>
      <w:r w:rsidR="00B24BF9">
        <w:t>1568</w:t>
      </w:r>
      <w:r w:rsidR="00345D55" w:rsidRPr="00C443F4">
        <w:tab/>
      </w:r>
      <w:r w:rsidR="00771181" w:rsidRPr="00F7431E">
        <w:t>– “</w:t>
      </w:r>
      <w:r w:rsidR="006F4BED" w:rsidRPr="00C443F4">
        <w:t>On PUCCH for Ultra-Reliable Transmission</w:t>
      </w:r>
      <w:r w:rsidRPr="00C443F4">
        <w:t>, Ericsson</w:t>
      </w:r>
      <w:bookmarkEnd w:id="15"/>
      <w:bookmarkEnd w:id="16"/>
      <w:r w:rsidR="00771181">
        <w:t>”.</w:t>
      </w:r>
    </w:p>
    <w:sectPr w:rsidR="00A947C1" w:rsidRPr="00C443F4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DD395" w14:textId="77777777" w:rsidR="00462B9A" w:rsidRDefault="00462B9A">
      <w:r>
        <w:separator/>
      </w:r>
    </w:p>
  </w:endnote>
  <w:endnote w:type="continuationSeparator" w:id="0">
    <w:p w14:paraId="6F30648D" w14:textId="77777777" w:rsidR="00462B9A" w:rsidRDefault="0046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02C72" w14:textId="77777777" w:rsidR="00462B9A" w:rsidRDefault="00462B9A">
      <w:r>
        <w:separator/>
      </w:r>
    </w:p>
  </w:footnote>
  <w:footnote w:type="continuationSeparator" w:id="0">
    <w:p w14:paraId="04289123" w14:textId="77777777" w:rsidR="00462B9A" w:rsidRDefault="00462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2B91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C78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9C6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82F3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370E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1DC0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05E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2B9A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47A5"/>
    <w:rsid w:val="004E56DC"/>
    <w:rsid w:val="004E76F4"/>
    <w:rsid w:val="004F0B4E"/>
    <w:rsid w:val="004F0B6C"/>
    <w:rsid w:val="004F2078"/>
    <w:rsid w:val="004F4DA3"/>
    <w:rsid w:val="004F72C6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558D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283"/>
    <w:rsid w:val="005F2CB1"/>
    <w:rsid w:val="005F3025"/>
    <w:rsid w:val="005F3C8E"/>
    <w:rsid w:val="005F618C"/>
    <w:rsid w:val="005F70BD"/>
    <w:rsid w:val="00601389"/>
    <w:rsid w:val="0060283C"/>
    <w:rsid w:val="00604F14"/>
    <w:rsid w:val="0061060F"/>
    <w:rsid w:val="00611B83"/>
    <w:rsid w:val="00612D3A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1FA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42E5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1181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08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DEB"/>
    <w:rsid w:val="007E4283"/>
    <w:rsid w:val="007E4610"/>
    <w:rsid w:val="007E4715"/>
    <w:rsid w:val="007E505B"/>
    <w:rsid w:val="007E7091"/>
    <w:rsid w:val="007F5E7A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26B6"/>
    <w:rsid w:val="0086402F"/>
    <w:rsid w:val="00866C80"/>
    <w:rsid w:val="008677FD"/>
    <w:rsid w:val="008706D4"/>
    <w:rsid w:val="00870C15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E6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304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510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84F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4BF9"/>
    <w:rsid w:val="00B2763F"/>
    <w:rsid w:val="00B27AAC"/>
    <w:rsid w:val="00B30929"/>
    <w:rsid w:val="00B32025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32A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3F4"/>
    <w:rsid w:val="00C44FE9"/>
    <w:rsid w:val="00C532A0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E"/>
    <w:rsid w:val="00CD7163"/>
    <w:rsid w:val="00CE0424"/>
    <w:rsid w:val="00CE6CDF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22A3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6FFF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223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42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B6EE9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26B6"/>
    <w:pPr>
      <w:spacing w:after="80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26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26B6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5NUHHDQN7SK2-1476151046-17569</_dlc_DocId>
    <_dlc_DocIdUrl xmlns="f166a696-7b5b-4ccd-9f0c-ffde0cceec81">
      <Url>https://ericsson.sharepoint.com/sites/star/_layouts/15/DocIdRedir.aspx?ID=5NUHHDQN7SK2-1476151046-17569</Url>
      <Description>5NUHHDQN7SK2-1476151046-17569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6ADFBC1-D65D-40E3-A35B-6FD354970C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96CDD9-9F09-471E-9C4E-1A01961A42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821C5A-91E0-4FCA-A89F-ED62A6110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8FBFD-B933-491F-B224-F2C5A0C8B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95AC66-BEEC-43FA-80A5-8BCB8DE3EBA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2018-01-12T16:25:00Z</dcterms:created>
  <dcterms:modified xsi:type="dcterms:W3CDTF">2018-02-17T04:46:00Z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50a62335-aec0-47a9-a95a-2f566da031fa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